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D4D3" w14:textId="64FF9CBB" w:rsidR="009B2C2D" w:rsidRPr="00624B20" w:rsidRDefault="000D3E31" w:rsidP="00E4101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4B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Basın Bülteni                                                                                                                               </w:t>
      </w:r>
      <w:r w:rsidR="007B13DB" w:rsidRPr="007B13DB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XX</w:t>
      </w:r>
      <w:r w:rsidR="00C5291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Temmuz </w:t>
      </w:r>
      <w:r w:rsidRPr="00624B20">
        <w:rPr>
          <w:rFonts w:asciiTheme="minorHAnsi" w:hAnsiTheme="minorHAnsi" w:cstheme="minorHAnsi"/>
          <w:b/>
          <w:bCs/>
          <w:sz w:val="24"/>
          <w:szCs w:val="24"/>
          <w:u w:val="single"/>
        </w:rPr>
        <w:t>2022</w:t>
      </w:r>
    </w:p>
    <w:p w14:paraId="1B56A12A" w14:textId="3E6C2264" w:rsidR="00E82832" w:rsidRPr="00FA3660" w:rsidRDefault="00FA3660" w:rsidP="00FA3660">
      <w:pPr>
        <w:spacing w:after="0" w:line="240" w:lineRule="auto"/>
        <w:jc w:val="center"/>
        <w:rPr>
          <w:rFonts w:cs="Calibri"/>
          <w:b/>
          <w:bCs/>
          <w:color w:val="000000"/>
          <w:sz w:val="40"/>
          <w:szCs w:val="40"/>
        </w:rPr>
      </w:pPr>
      <w:r w:rsidRPr="00FA3660">
        <w:rPr>
          <w:rFonts w:cs="Calibri"/>
          <w:b/>
          <w:bCs/>
          <w:color w:val="000000"/>
          <w:sz w:val="40"/>
          <w:szCs w:val="40"/>
        </w:rPr>
        <w:t>TÜBİTAK’tan 450 Bin TL hibe desteği!</w:t>
      </w:r>
    </w:p>
    <w:p w14:paraId="50EC0734" w14:textId="77777777" w:rsidR="00E82832" w:rsidRDefault="00E82832" w:rsidP="00E82832">
      <w:pPr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32D1F116" w14:textId="6571919C" w:rsidR="00E82832" w:rsidRPr="00624B20" w:rsidRDefault="00E82832" w:rsidP="00E82832">
      <w:pPr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624B20">
        <w:rPr>
          <w:rFonts w:cs="Calibri"/>
          <w:b/>
          <w:bCs/>
          <w:color w:val="000000"/>
          <w:sz w:val="28"/>
          <w:szCs w:val="28"/>
        </w:rPr>
        <w:t xml:space="preserve">Teknopark İstanbul kuluçka merkezi </w:t>
      </w:r>
      <w:proofErr w:type="spellStart"/>
      <w:r w:rsidRPr="00624B20">
        <w:rPr>
          <w:rFonts w:cs="Calibri"/>
          <w:b/>
          <w:bCs/>
          <w:color w:val="000000"/>
          <w:sz w:val="28"/>
          <w:szCs w:val="28"/>
        </w:rPr>
        <w:t>Cube</w:t>
      </w:r>
      <w:proofErr w:type="spellEnd"/>
      <w:r w:rsidRPr="00624B20">
        <w:rPr>
          <w:rFonts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624B20">
        <w:rPr>
          <w:rFonts w:cs="Calibri"/>
          <w:b/>
          <w:bCs/>
          <w:color w:val="000000"/>
          <w:sz w:val="28"/>
          <w:szCs w:val="28"/>
        </w:rPr>
        <w:t>Incubation</w:t>
      </w:r>
      <w:proofErr w:type="spellEnd"/>
      <w:r w:rsidRPr="00624B20">
        <w:rPr>
          <w:rFonts w:cs="Calibri"/>
          <w:b/>
          <w:bCs/>
          <w:color w:val="000000"/>
          <w:sz w:val="28"/>
          <w:szCs w:val="28"/>
        </w:rPr>
        <w:t xml:space="preserve">, BİGG </w:t>
      </w:r>
      <w:proofErr w:type="spellStart"/>
      <w:r w:rsidRPr="00624B20">
        <w:rPr>
          <w:rFonts w:cs="Calibri"/>
          <w:b/>
          <w:bCs/>
          <w:color w:val="000000"/>
          <w:sz w:val="28"/>
          <w:szCs w:val="28"/>
        </w:rPr>
        <w:t>Cube</w:t>
      </w:r>
      <w:proofErr w:type="spellEnd"/>
      <w:r w:rsidRPr="00624B20">
        <w:rPr>
          <w:rFonts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624B20">
        <w:rPr>
          <w:rFonts w:cs="Calibri"/>
          <w:b/>
          <w:bCs/>
          <w:color w:val="000000"/>
          <w:sz w:val="28"/>
          <w:szCs w:val="28"/>
        </w:rPr>
        <w:t>Incubation</w:t>
      </w:r>
      <w:proofErr w:type="spellEnd"/>
      <w:r w:rsidRPr="00624B20">
        <w:rPr>
          <w:rFonts w:cs="Calibri"/>
          <w:b/>
          <w:bCs/>
          <w:color w:val="000000"/>
          <w:sz w:val="28"/>
          <w:szCs w:val="28"/>
        </w:rPr>
        <w:t xml:space="preserve"> Programı kapsamında yeşil dönüşüm fikri olan girişimci adaylarına başvuru çağrısı yaptı. 450 bin TL hibe desteği sağlanacak projeler için ön başvurular 29 Temmuz 2022 Cuma gününe kadar alınacak.</w:t>
      </w:r>
    </w:p>
    <w:p w14:paraId="07040CD1" w14:textId="77777777" w:rsidR="00E82832" w:rsidRDefault="00E82832" w:rsidP="00E82832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416C6F0A" w14:textId="77777777" w:rsidR="00E82832" w:rsidRDefault="00E82832" w:rsidP="00E82832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Teknopark İstanbul, çevre projeleri için</w:t>
      </w:r>
      <w:r w:rsidRPr="00624B2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TÜBİTAK’ın verdiği </w:t>
      </w:r>
      <w:r w:rsidRPr="00624B20">
        <w:rPr>
          <w:rFonts w:cs="Calibri"/>
          <w:color w:val="000000"/>
          <w:sz w:val="24"/>
          <w:szCs w:val="24"/>
        </w:rPr>
        <w:t>450.000 TL’</w:t>
      </w:r>
      <w:r>
        <w:rPr>
          <w:rFonts w:cs="Calibri"/>
          <w:color w:val="000000"/>
          <w:sz w:val="24"/>
          <w:szCs w:val="24"/>
        </w:rPr>
        <w:t xml:space="preserve">ye kadar olan hibe desteği almak isteyen üniversitelerin ilgili bölümlerinde okuyan öğrenci ve mezun girişimcileri, Teknopark İstanbul Kuluçka Merkezi </w:t>
      </w:r>
      <w:proofErr w:type="spellStart"/>
      <w:r>
        <w:rPr>
          <w:rFonts w:cs="Calibri"/>
          <w:color w:val="000000"/>
          <w:sz w:val="24"/>
          <w:szCs w:val="24"/>
        </w:rPr>
        <w:t>Cube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Incubation’a</w:t>
      </w:r>
      <w:proofErr w:type="spellEnd"/>
      <w:r>
        <w:rPr>
          <w:rFonts w:cs="Calibri"/>
          <w:color w:val="000000"/>
          <w:sz w:val="24"/>
          <w:szCs w:val="24"/>
        </w:rPr>
        <w:t xml:space="preserve"> başvurmaya davet etti. Y</w:t>
      </w:r>
      <w:r w:rsidRPr="00624B20">
        <w:rPr>
          <w:rFonts w:cs="Calibri"/>
          <w:color w:val="000000"/>
          <w:sz w:val="24"/>
          <w:szCs w:val="24"/>
        </w:rPr>
        <w:t>eşil büyüme ve yeşil dönüşüm odaklı yenilikçi iş fikirlerini hayata geçirmek isteyen girişimci adayları</w:t>
      </w:r>
      <w:r>
        <w:rPr>
          <w:rFonts w:cs="Calibri"/>
          <w:color w:val="000000"/>
          <w:sz w:val="24"/>
          <w:szCs w:val="24"/>
        </w:rPr>
        <w:t>,</w:t>
      </w:r>
      <w:r w:rsidRPr="00624B2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624B20">
        <w:rPr>
          <w:rFonts w:cs="Calibri"/>
          <w:color w:val="000000"/>
          <w:sz w:val="24"/>
          <w:szCs w:val="24"/>
        </w:rPr>
        <w:t>Cube</w:t>
      </w:r>
      <w:proofErr w:type="spellEnd"/>
      <w:r w:rsidRPr="00624B2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624B20">
        <w:rPr>
          <w:rFonts w:cs="Calibri"/>
          <w:color w:val="000000"/>
          <w:sz w:val="24"/>
          <w:szCs w:val="24"/>
        </w:rPr>
        <w:t>Incubation’un</w:t>
      </w:r>
      <w:proofErr w:type="spellEnd"/>
      <w:r w:rsidRPr="00624B20">
        <w:rPr>
          <w:rFonts w:cs="Calibri"/>
          <w:color w:val="000000"/>
          <w:sz w:val="24"/>
          <w:szCs w:val="24"/>
        </w:rPr>
        <w:t xml:space="preserve"> BİGG </w:t>
      </w:r>
      <w:proofErr w:type="spellStart"/>
      <w:r w:rsidRPr="00624B20">
        <w:rPr>
          <w:rFonts w:cs="Calibri"/>
          <w:color w:val="000000"/>
          <w:sz w:val="24"/>
          <w:szCs w:val="24"/>
        </w:rPr>
        <w:t>Cube</w:t>
      </w:r>
      <w:proofErr w:type="spellEnd"/>
      <w:r w:rsidRPr="00624B2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624B20">
        <w:rPr>
          <w:rFonts w:cs="Calibri"/>
          <w:color w:val="000000"/>
          <w:sz w:val="24"/>
          <w:szCs w:val="24"/>
        </w:rPr>
        <w:t>Incubation</w:t>
      </w:r>
      <w:proofErr w:type="spellEnd"/>
      <w:r w:rsidRPr="00624B20">
        <w:rPr>
          <w:rFonts w:cs="Calibri"/>
          <w:color w:val="000000"/>
          <w:sz w:val="24"/>
          <w:szCs w:val="24"/>
        </w:rPr>
        <w:t xml:space="preserve"> Programı’ndan tüm üniversitelerin ön lisans, lisans, yüksek lisans veya doktora programlarına kayıtlı öğrencileri ya da mezunları programa başvuru yapabilirler.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511C279E" w14:textId="77777777" w:rsidR="00E82832" w:rsidRPr="00624B20" w:rsidRDefault="00E82832" w:rsidP="00E82832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4028BB3B" w14:textId="77777777" w:rsidR="00E82832" w:rsidRPr="00624B20" w:rsidRDefault="00E82832" w:rsidP="00E82832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624B20">
        <w:rPr>
          <w:rFonts w:cs="Calibri"/>
          <w:b/>
          <w:bCs/>
          <w:color w:val="000000"/>
          <w:sz w:val="24"/>
          <w:szCs w:val="24"/>
        </w:rPr>
        <w:t>Teknopark İstanbul sanayinin yeşil dönüşümüne katkı sağlayanları destekliyor</w:t>
      </w:r>
    </w:p>
    <w:p w14:paraId="75A3904F" w14:textId="21514DC2" w:rsidR="00E82832" w:rsidRPr="00624B20" w:rsidRDefault="00E82832" w:rsidP="00E82832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 w:rsidRPr="00624B20">
        <w:rPr>
          <w:rFonts w:cs="Calibri"/>
          <w:color w:val="000000"/>
          <w:sz w:val="24"/>
          <w:szCs w:val="24"/>
        </w:rPr>
        <w:t>Cube</w:t>
      </w:r>
      <w:proofErr w:type="spellEnd"/>
      <w:r w:rsidRPr="00624B2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624B20">
        <w:rPr>
          <w:rFonts w:cs="Calibri"/>
          <w:color w:val="000000"/>
          <w:sz w:val="24"/>
          <w:szCs w:val="24"/>
        </w:rPr>
        <w:t>Incubation’un</w:t>
      </w:r>
      <w:proofErr w:type="spellEnd"/>
      <w:r w:rsidRPr="00624B20">
        <w:rPr>
          <w:rFonts w:cs="Calibri"/>
          <w:color w:val="000000"/>
          <w:sz w:val="24"/>
          <w:szCs w:val="24"/>
        </w:rPr>
        <w:t xml:space="preserve"> faaliyete geçtiği günden bu yana girişimcilik ekosisteminin ihtiyaçlarına yönelik çözümler üre</w:t>
      </w:r>
      <w:r>
        <w:rPr>
          <w:rFonts w:cs="Calibri"/>
          <w:color w:val="000000"/>
          <w:sz w:val="24"/>
          <w:szCs w:val="24"/>
        </w:rPr>
        <w:t>t</w:t>
      </w:r>
      <w:r w:rsidRPr="00624B20">
        <w:rPr>
          <w:rFonts w:cs="Calibri"/>
          <w:color w:val="000000"/>
          <w:sz w:val="24"/>
          <w:szCs w:val="24"/>
        </w:rPr>
        <w:t xml:space="preserve">tiğini belirten </w:t>
      </w:r>
      <w:r w:rsidRPr="00624B20">
        <w:rPr>
          <w:rFonts w:ascii="AppleSystemUIFont" w:eastAsiaTheme="minorHAnsi" w:hAnsi="AppleSystemUIFont" w:cs="AppleSystemUIFont"/>
          <w:sz w:val="26"/>
          <w:szCs w:val="26"/>
        </w:rPr>
        <w:t xml:space="preserve">Teknopark İstanbul Genel Müdürü Bilal Topçu, </w:t>
      </w:r>
      <w:r w:rsidRPr="00624B20">
        <w:rPr>
          <w:rFonts w:cs="Calibri"/>
          <w:bCs/>
          <w:color w:val="000000"/>
          <w:sz w:val="24"/>
          <w:szCs w:val="24"/>
        </w:rPr>
        <w:t xml:space="preserve">“Girişimcilere </w:t>
      </w:r>
      <w:r w:rsidRPr="00624B20">
        <w:rPr>
          <w:rFonts w:cs="Calibri"/>
          <w:color w:val="000000"/>
          <w:sz w:val="24"/>
          <w:szCs w:val="24"/>
        </w:rPr>
        <w:t xml:space="preserve">sağladığı altyapı ve sunduğu destekler kapsamında Türkiye’nin en nitelikli kuluçka merkezlerinden biri olan </w:t>
      </w:r>
      <w:proofErr w:type="spellStart"/>
      <w:r w:rsidRPr="00624B20">
        <w:rPr>
          <w:rFonts w:cs="Calibri"/>
          <w:color w:val="000000"/>
          <w:sz w:val="24"/>
          <w:szCs w:val="24"/>
        </w:rPr>
        <w:t>Cube</w:t>
      </w:r>
      <w:proofErr w:type="spellEnd"/>
      <w:r w:rsidRPr="00624B2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624B20">
        <w:rPr>
          <w:rFonts w:cs="Calibri"/>
          <w:color w:val="000000"/>
          <w:sz w:val="24"/>
          <w:szCs w:val="24"/>
        </w:rPr>
        <w:t>Incubation</w:t>
      </w:r>
      <w:proofErr w:type="spellEnd"/>
      <w:r w:rsidRPr="00624B20">
        <w:rPr>
          <w:rFonts w:cs="Calibri"/>
          <w:color w:val="000000"/>
          <w:sz w:val="24"/>
          <w:szCs w:val="24"/>
        </w:rPr>
        <w:t>; BİGG Yeşil Büyüme programı ile Türkiye ekonomisi ve sanayisinin yeşil dönüşümüne katkı sağlayacak iş fikirlerini bekliyor. BİGG Yeşil Büyüme programı kapsamında girişimciler;</w:t>
      </w:r>
      <w:r w:rsidR="00092849">
        <w:rPr>
          <w:rFonts w:cs="Calibri"/>
          <w:color w:val="000000"/>
          <w:sz w:val="24"/>
          <w:szCs w:val="24"/>
        </w:rPr>
        <w:t xml:space="preserve"> ücretsiz şirket kurulum desteği, birebir danışmanlıklar ve </w:t>
      </w:r>
      <w:proofErr w:type="spellStart"/>
      <w:r w:rsidR="00092849">
        <w:rPr>
          <w:rFonts w:cs="Calibri"/>
          <w:color w:val="000000"/>
          <w:sz w:val="24"/>
          <w:szCs w:val="24"/>
        </w:rPr>
        <w:t>mentorluk</w:t>
      </w:r>
      <w:proofErr w:type="spellEnd"/>
      <w:r w:rsidR="00092849">
        <w:rPr>
          <w:rFonts w:cs="Calibri"/>
          <w:color w:val="000000"/>
          <w:sz w:val="24"/>
          <w:szCs w:val="24"/>
        </w:rPr>
        <w:t xml:space="preserve">, psikolojik destek, </w:t>
      </w:r>
      <w:r w:rsidR="00092849">
        <w:rPr>
          <w:rFonts w:cs="Calibri"/>
          <w:color w:val="000000"/>
          <w:sz w:val="24"/>
          <w:szCs w:val="24"/>
        </w:rPr>
        <w:t>ücretsiz modern</w:t>
      </w:r>
      <w:r w:rsidR="00092849" w:rsidRPr="00624B20">
        <w:rPr>
          <w:rFonts w:cs="Calibri"/>
          <w:color w:val="000000"/>
          <w:sz w:val="24"/>
          <w:szCs w:val="24"/>
        </w:rPr>
        <w:t xml:space="preserve"> açık ve kapalı</w:t>
      </w:r>
      <w:r w:rsidR="00092849">
        <w:rPr>
          <w:rFonts w:cs="Calibri"/>
          <w:color w:val="000000"/>
          <w:sz w:val="24"/>
          <w:szCs w:val="24"/>
        </w:rPr>
        <w:t xml:space="preserve"> ofisler</w:t>
      </w:r>
      <w:r w:rsidR="00092849" w:rsidRPr="00624B20">
        <w:rPr>
          <w:rFonts w:cs="Calibri"/>
          <w:color w:val="000000"/>
          <w:sz w:val="24"/>
          <w:szCs w:val="24"/>
        </w:rPr>
        <w:t>,</w:t>
      </w:r>
      <w:r w:rsidR="00092849">
        <w:rPr>
          <w:rFonts w:cs="Calibri"/>
          <w:color w:val="000000"/>
          <w:sz w:val="24"/>
          <w:szCs w:val="24"/>
        </w:rPr>
        <w:t xml:space="preserve"> </w:t>
      </w:r>
      <w:r w:rsidRPr="00624B20">
        <w:rPr>
          <w:rFonts w:cs="Calibri"/>
          <w:color w:val="000000"/>
          <w:sz w:val="24"/>
          <w:szCs w:val="24"/>
        </w:rPr>
        <w:t>seminer ve etkinlik alanları, kütüphane, ıslak/kuru laboratuvarlar, temiz odalar, montaj atölyesi ve sunucu odasından yararlanabilecekleri gibi Teknopark İstanbul Teknoloji Transfer Ofisi (</w:t>
      </w:r>
      <w:proofErr w:type="spellStart"/>
      <w:r w:rsidRPr="00624B20">
        <w:rPr>
          <w:rFonts w:cs="Calibri"/>
          <w:color w:val="000000"/>
          <w:sz w:val="24"/>
          <w:szCs w:val="24"/>
        </w:rPr>
        <w:t>connectto</w:t>
      </w:r>
      <w:proofErr w:type="spellEnd"/>
      <w:r w:rsidRPr="00624B20">
        <w:rPr>
          <w:rFonts w:cs="Calibri"/>
          <w:color w:val="000000"/>
          <w:sz w:val="24"/>
          <w:szCs w:val="24"/>
        </w:rPr>
        <w:t>) aracılığıyla da patent desteği alabilecekler” dedi.</w:t>
      </w:r>
    </w:p>
    <w:p w14:paraId="1EE42AA6" w14:textId="77777777" w:rsidR="00E82832" w:rsidRPr="00624B20" w:rsidRDefault="00E82832" w:rsidP="00E82832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244F733" w14:textId="77777777" w:rsidR="00E82832" w:rsidRPr="002A7996" w:rsidRDefault="00E82832" w:rsidP="00E82832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624B20">
        <w:rPr>
          <w:rFonts w:cs="Calibri"/>
          <w:b/>
          <w:bCs/>
          <w:color w:val="000000"/>
          <w:sz w:val="24"/>
          <w:szCs w:val="24"/>
        </w:rPr>
        <w:t xml:space="preserve">Projesi olanlar iş birliği ağlarından faydalanabilecek, </w:t>
      </w:r>
      <w:proofErr w:type="spellStart"/>
      <w:r w:rsidRPr="00624B20">
        <w:rPr>
          <w:rFonts w:cs="Calibri"/>
          <w:b/>
          <w:bCs/>
          <w:color w:val="000000"/>
          <w:sz w:val="24"/>
          <w:szCs w:val="24"/>
        </w:rPr>
        <w:t>mentorluk</w:t>
      </w:r>
      <w:proofErr w:type="spellEnd"/>
      <w:r w:rsidRPr="00624B20">
        <w:rPr>
          <w:rFonts w:cs="Calibri"/>
          <w:b/>
          <w:bCs/>
          <w:color w:val="000000"/>
          <w:sz w:val="24"/>
          <w:szCs w:val="24"/>
        </w:rPr>
        <w:t xml:space="preserve"> desteği alacak</w:t>
      </w:r>
    </w:p>
    <w:p w14:paraId="1ACC31A7" w14:textId="77777777" w:rsidR="00E82832" w:rsidRDefault="00E82832" w:rsidP="00E82832">
      <w:pPr>
        <w:tabs>
          <w:tab w:val="left" w:pos="1440"/>
        </w:tabs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A3624">
        <w:rPr>
          <w:rStyle w:val="Gl"/>
          <w:b w:val="0"/>
          <w:bCs w:val="0"/>
          <w:color w:val="000000"/>
        </w:rPr>
        <w:t xml:space="preserve">Teknopark İstanbul kuluçka merkezi </w:t>
      </w:r>
      <w:proofErr w:type="spellStart"/>
      <w:r w:rsidRPr="00CA3624">
        <w:rPr>
          <w:rStyle w:val="Gl"/>
          <w:b w:val="0"/>
          <w:bCs w:val="0"/>
          <w:color w:val="000000"/>
        </w:rPr>
        <w:t>Cube</w:t>
      </w:r>
      <w:proofErr w:type="spellEnd"/>
      <w:r w:rsidRPr="00CA3624">
        <w:rPr>
          <w:rStyle w:val="Gl"/>
          <w:b w:val="0"/>
          <w:bCs w:val="0"/>
          <w:color w:val="000000"/>
        </w:rPr>
        <w:t xml:space="preserve"> </w:t>
      </w:r>
      <w:proofErr w:type="spellStart"/>
      <w:r w:rsidRPr="00CA3624">
        <w:rPr>
          <w:rStyle w:val="Gl"/>
          <w:b w:val="0"/>
          <w:bCs w:val="0"/>
          <w:color w:val="000000"/>
        </w:rPr>
        <w:t>Incubation</w:t>
      </w:r>
      <w:proofErr w:type="spellEnd"/>
      <w:r w:rsidRPr="00CA3624">
        <w:rPr>
          <w:rStyle w:val="Gl"/>
          <w:b w:val="0"/>
          <w:bCs w:val="0"/>
          <w:color w:val="000000"/>
        </w:rPr>
        <w:t>, TÜBİTAK 1512 Girişimcilik Destek Programı’nın uygulayıcı kuruluşu olarak yürüttüğü</w:t>
      </w:r>
      <w:r>
        <w:rPr>
          <w:rStyle w:val="Gl"/>
          <w:b w:val="0"/>
          <w:bCs w:val="0"/>
          <w:color w:val="000000"/>
        </w:rPr>
        <w:t xml:space="preserve"> projede,</w:t>
      </w:r>
      <w:r>
        <w:rPr>
          <w:rStyle w:val="Gl"/>
          <w:color w:val="000000"/>
          <w:sz w:val="29"/>
          <w:szCs w:val="29"/>
        </w:rPr>
        <w:t xml:space="preserve"> </w:t>
      </w:r>
      <w:r w:rsidRPr="00624B20">
        <w:rPr>
          <w:rFonts w:cs="Calibri"/>
          <w:color w:val="000000"/>
          <w:sz w:val="24"/>
          <w:szCs w:val="24"/>
        </w:rPr>
        <w:t>İstanbul Ticaret Üniversitesi ve Yeditepe Üniversitesi iş birliğ</w:t>
      </w:r>
      <w:r>
        <w:rPr>
          <w:rFonts w:cs="Calibri"/>
          <w:color w:val="000000"/>
          <w:sz w:val="24"/>
          <w:szCs w:val="24"/>
        </w:rPr>
        <w:t xml:space="preserve">i de yer alıyor. Projede </w:t>
      </w:r>
      <w:proofErr w:type="spellStart"/>
      <w:r w:rsidRPr="00624B20">
        <w:rPr>
          <w:rFonts w:cs="Calibri"/>
          <w:color w:val="000000"/>
          <w:sz w:val="24"/>
          <w:szCs w:val="24"/>
        </w:rPr>
        <w:t>mentorluk</w:t>
      </w:r>
      <w:proofErr w:type="spellEnd"/>
      <w:r w:rsidRPr="00624B20">
        <w:rPr>
          <w:rFonts w:cs="Calibri"/>
          <w:color w:val="000000"/>
          <w:sz w:val="24"/>
          <w:szCs w:val="24"/>
        </w:rPr>
        <w:t>, iş birliği ağlarından faydalandırma, iş planı hazırlama gibi destekler verilmesi hedefleniyor. Yenilik odaklı, ticari değeri doğrulanmış ürün ve hizmetlere dönüştürülebilecek iş fikirleri;</w:t>
      </w:r>
      <w:r>
        <w:rPr>
          <w:rFonts w:cs="Calibri"/>
          <w:color w:val="000000"/>
          <w:sz w:val="24"/>
          <w:szCs w:val="24"/>
        </w:rPr>
        <w:t xml:space="preserve"> </w:t>
      </w:r>
      <w:r w:rsidRPr="00EE2545">
        <w:rPr>
          <w:rFonts w:cs="Calibri"/>
          <w:b/>
          <w:bCs/>
          <w:color w:val="000000"/>
          <w:sz w:val="24"/>
          <w:szCs w:val="24"/>
        </w:rPr>
        <w:t>’İklim Değişikliği’</w:t>
      </w:r>
      <w:r w:rsidRPr="00624B20"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>‘</w:t>
      </w:r>
      <w:r w:rsidRPr="00EE2545">
        <w:rPr>
          <w:rFonts w:cs="Calibri"/>
          <w:b/>
          <w:bCs/>
          <w:color w:val="000000"/>
          <w:sz w:val="24"/>
          <w:szCs w:val="24"/>
        </w:rPr>
        <w:t xml:space="preserve">Çevre ve </w:t>
      </w:r>
      <w:proofErr w:type="spellStart"/>
      <w:r w:rsidRPr="00EE2545">
        <w:rPr>
          <w:rFonts w:cs="Calibri"/>
          <w:b/>
          <w:bCs/>
          <w:color w:val="000000"/>
          <w:sz w:val="24"/>
          <w:szCs w:val="24"/>
        </w:rPr>
        <w:t>Biyoçeşitlilik</w:t>
      </w:r>
      <w:proofErr w:type="spellEnd"/>
      <w:r w:rsidRPr="00EE2545">
        <w:rPr>
          <w:rFonts w:cs="Calibri"/>
          <w:b/>
          <w:bCs/>
          <w:color w:val="000000"/>
          <w:sz w:val="24"/>
          <w:szCs w:val="24"/>
        </w:rPr>
        <w:t>’</w:t>
      </w:r>
      <w:r w:rsidRPr="00624B20"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>‘</w:t>
      </w:r>
      <w:r w:rsidRPr="00EE2545">
        <w:rPr>
          <w:rFonts w:cs="Calibri"/>
          <w:b/>
          <w:bCs/>
          <w:color w:val="000000"/>
          <w:sz w:val="24"/>
          <w:szCs w:val="24"/>
        </w:rPr>
        <w:t>Temiz ve Döngüsel Ekonomi’</w:t>
      </w:r>
      <w:r w:rsidRPr="00624B20">
        <w:rPr>
          <w:rFonts w:cs="Calibri"/>
          <w:color w:val="000000"/>
          <w:sz w:val="24"/>
          <w:szCs w:val="24"/>
        </w:rPr>
        <w:t xml:space="preserve">, </w:t>
      </w:r>
      <w:r w:rsidRPr="00EE2545">
        <w:rPr>
          <w:rFonts w:cs="Calibri"/>
          <w:b/>
          <w:bCs/>
          <w:color w:val="000000"/>
          <w:sz w:val="24"/>
          <w:szCs w:val="24"/>
        </w:rPr>
        <w:t>‘Temiz, Erişilebilir</w:t>
      </w:r>
      <w:r w:rsidRPr="00624B20">
        <w:rPr>
          <w:rFonts w:cs="Calibri"/>
          <w:color w:val="000000"/>
          <w:sz w:val="24"/>
          <w:szCs w:val="24"/>
        </w:rPr>
        <w:t xml:space="preserve"> </w:t>
      </w:r>
      <w:r w:rsidRPr="00EE2545">
        <w:rPr>
          <w:rFonts w:cs="Calibri"/>
          <w:b/>
          <w:bCs/>
          <w:color w:val="000000"/>
          <w:sz w:val="24"/>
          <w:szCs w:val="24"/>
        </w:rPr>
        <w:t>ve Güvenli Enerji Arzı’</w:t>
      </w:r>
      <w:r w:rsidRPr="00624B20">
        <w:rPr>
          <w:rFonts w:cs="Calibri"/>
          <w:color w:val="000000"/>
          <w:sz w:val="24"/>
          <w:szCs w:val="24"/>
        </w:rPr>
        <w:t xml:space="preserve">, </w:t>
      </w:r>
      <w:r w:rsidRPr="00390AC9">
        <w:rPr>
          <w:rFonts w:cs="Calibri"/>
          <w:b/>
          <w:bCs/>
          <w:color w:val="000000"/>
          <w:sz w:val="24"/>
          <w:szCs w:val="24"/>
        </w:rPr>
        <w:t>‘Yeşil ve</w:t>
      </w:r>
      <w:r w:rsidRPr="00624B20">
        <w:rPr>
          <w:rFonts w:cs="Calibri"/>
          <w:color w:val="000000"/>
          <w:sz w:val="24"/>
          <w:szCs w:val="24"/>
        </w:rPr>
        <w:t xml:space="preserve"> </w:t>
      </w:r>
      <w:r w:rsidRPr="00390AC9">
        <w:rPr>
          <w:rFonts w:cs="Calibri"/>
          <w:b/>
          <w:bCs/>
          <w:color w:val="000000"/>
          <w:sz w:val="24"/>
          <w:szCs w:val="24"/>
        </w:rPr>
        <w:t xml:space="preserve">Sürdürülebilir Tarım’ </w:t>
      </w:r>
      <w:r w:rsidRPr="00624B20">
        <w:rPr>
          <w:rFonts w:cs="Calibri"/>
          <w:color w:val="000000"/>
          <w:sz w:val="24"/>
          <w:szCs w:val="24"/>
        </w:rPr>
        <w:t xml:space="preserve">ile </w:t>
      </w:r>
      <w:r w:rsidRPr="00390AC9">
        <w:rPr>
          <w:rFonts w:cs="Calibri"/>
          <w:b/>
          <w:bCs/>
          <w:color w:val="000000"/>
          <w:sz w:val="24"/>
          <w:szCs w:val="24"/>
        </w:rPr>
        <w:t>‘Sürdürülebilir Akıllı Ulaşım’</w:t>
      </w:r>
      <w:r w:rsidRPr="00624B20">
        <w:rPr>
          <w:rFonts w:cs="Calibri"/>
          <w:color w:val="000000"/>
          <w:sz w:val="24"/>
          <w:szCs w:val="24"/>
        </w:rPr>
        <w:t xml:space="preserve"> konularını içeriyor.</w:t>
      </w:r>
    </w:p>
    <w:p w14:paraId="26998A25" w14:textId="77777777" w:rsidR="00E82832" w:rsidRDefault="00E82832" w:rsidP="00E82832">
      <w:pPr>
        <w:tabs>
          <w:tab w:val="left" w:pos="1440"/>
        </w:tabs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6B5562F0" w14:textId="77777777" w:rsidR="00E82832" w:rsidRDefault="00E82832" w:rsidP="00E82832">
      <w:pPr>
        <w:tabs>
          <w:tab w:val="left" w:pos="1440"/>
        </w:tabs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24B20">
        <w:rPr>
          <w:rFonts w:cs="Calibri"/>
          <w:color w:val="000000"/>
          <w:sz w:val="24"/>
          <w:szCs w:val="24"/>
        </w:rPr>
        <w:t xml:space="preserve">Yeşil büyüme ve yeşil dönüşüm odaklı yenilikçi iş fikirlerine 450.000 TL’ye kadar proje desteği sağlayan ve 29 Temmuz 2022 Cuma gününe kadar ön başvurularının alınacağı programa </w:t>
      </w:r>
      <w:hyperlink r:id="rId8" w:history="1">
        <w:r w:rsidRPr="00624B20">
          <w:rPr>
            <w:rStyle w:val="Kpr"/>
          </w:rPr>
          <w:t>https://biggcube.com/</w:t>
        </w:r>
      </w:hyperlink>
      <w:r w:rsidRPr="00624B20">
        <w:t xml:space="preserve"> b</w:t>
      </w:r>
      <w:r w:rsidRPr="00624B20">
        <w:rPr>
          <w:rFonts w:cs="Calibri"/>
          <w:color w:val="000000"/>
          <w:sz w:val="24"/>
          <w:szCs w:val="24"/>
        </w:rPr>
        <w:t xml:space="preserve">ağlantısı üzerinden başvuru yapılabiliyor ve </w:t>
      </w:r>
      <w:hyperlink r:id="rId9" w:history="1">
        <w:r w:rsidRPr="009222A4">
          <w:rPr>
            <w:rStyle w:val="Kpr"/>
          </w:rPr>
          <w:t>https://www.tubitak.gov.tr/tr/duyuru/2022-2-bigg-yesil-buyume-cagrisi-acildi</w:t>
        </w:r>
      </w:hyperlink>
      <w:r>
        <w:t xml:space="preserve"> </w:t>
      </w:r>
      <w:r w:rsidRPr="00624B20">
        <w:t>a</w:t>
      </w:r>
      <w:r w:rsidRPr="00624B20">
        <w:rPr>
          <w:rFonts w:cs="Calibri"/>
          <w:color w:val="000000"/>
          <w:sz w:val="24"/>
          <w:szCs w:val="24"/>
        </w:rPr>
        <w:t>dresinden</w:t>
      </w:r>
      <w:r>
        <w:rPr>
          <w:rFonts w:cs="Calibri"/>
          <w:color w:val="000000"/>
          <w:sz w:val="24"/>
          <w:szCs w:val="24"/>
        </w:rPr>
        <w:t xml:space="preserve"> </w:t>
      </w:r>
      <w:r w:rsidRPr="00624B20">
        <w:rPr>
          <w:rFonts w:cs="Calibri"/>
          <w:color w:val="000000"/>
          <w:sz w:val="24"/>
          <w:szCs w:val="24"/>
        </w:rPr>
        <w:t>ayrıntılı bilgiye ulaşılabiliyor.</w:t>
      </w:r>
    </w:p>
    <w:p w14:paraId="45C1858D" w14:textId="77777777" w:rsidR="00E82832" w:rsidRDefault="00E82832" w:rsidP="00E82832">
      <w:pPr>
        <w:autoSpaceDE w:val="0"/>
        <w:autoSpaceDN w:val="0"/>
        <w:adjustRightInd w:val="0"/>
        <w:rPr>
          <w:rFonts w:eastAsiaTheme="minorHAnsi" w:cs="Calibri"/>
        </w:rPr>
      </w:pPr>
    </w:p>
    <w:p w14:paraId="2C2D4F83" w14:textId="77777777" w:rsidR="00E82832" w:rsidRPr="00460A7A" w:rsidRDefault="00E82832" w:rsidP="00E82832">
      <w:pPr>
        <w:spacing w:after="0" w:line="240" w:lineRule="auto"/>
        <w:rPr>
          <w:rFonts w:cstheme="minorHAnsi"/>
          <w:b/>
          <w:lang w:val="en-GB"/>
        </w:rPr>
      </w:pPr>
      <w:proofErr w:type="spellStart"/>
      <w:r w:rsidRPr="00460A7A">
        <w:rPr>
          <w:rFonts w:cstheme="minorHAnsi"/>
          <w:b/>
          <w:lang w:val="en-GB"/>
        </w:rPr>
        <w:t>Detaylı</w:t>
      </w:r>
      <w:proofErr w:type="spellEnd"/>
      <w:r w:rsidRPr="00460A7A">
        <w:rPr>
          <w:rFonts w:cstheme="minorHAnsi"/>
          <w:b/>
          <w:lang w:val="en-GB"/>
        </w:rPr>
        <w:t xml:space="preserve"> Bilgi </w:t>
      </w:r>
      <w:proofErr w:type="spellStart"/>
      <w:r w:rsidRPr="00460A7A">
        <w:rPr>
          <w:rFonts w:cstheme="minorHAnsi"/>
          <w:b/>
          <w:lang w:val="en-GB"/>
        </w:rPr>
        <w:t>İçin</w:t>
      </w:r>
      <w:proofErr w:type="spellEnd"/>
      <w:r w:rsidRPr="00460A7A">
        <w:rPr>
          <w:rFonts w:cstheme="minorHAnsi"/>
          <w:b/>
          <w:lang w:val="en-GB"/>
        </w:rPr>
        <w:t>:</w:t>
      </w:r>
    </w:p>
    <w:p w14:paraId="61500D89" w14:textId="77777777" w:rsidR="00E82832" w:rsidRPr="00460A7A" w:rsidRDefault="00E82832" w:rsidP="00E82832">
      <w:pPr>
        <w:spacing w:after="0" w:line="240" w:lineRule="auto"/>
        <w:rPr>
          <w:rFonts w:cstheme="minorHAnsi"/>
          <w:b/>
          <w:lang w:val="en-GB"/>
        </w:rPr>
      </w:pPr>
      <w:r w:rsidRPr="00460A7A">
        <w:rPr>
          <w:rFonts w:cstheme="minorHAnsi"/>
          <w:b/>
          <w:color w:val="000000"/>
          <w:lang w:val="en-GB"/>
        </w:rPr>
        <w:t>Lorbi PR</w:t>
      </w:r>
    </w:p>
    <w:p w14:paraId="46360513" w14:textId="09DD478F" w:rsidR="002A7996" w:rsidRPr="002A7996" w:rsidRDefault="00E82832" w:rsidP="00E82832">
      <w:pPr>
        <w:spacing w:after="0" w:line="240" w:lineRule="auto"/>
        <w:rPr>
          <w:rFonts w:cstheme="minorHAnsi"/>
          <w:b/>
          <w:color w:val="000000"/>
          <w:lang w:val="en-GB"/>
        </w:rPr>
      </w:pPr>
      <w:r w:rsidRPr="00460A7A">
        <w:rPr>
          <w:rFonts w:cstheme="minorHAnsi"/>
          <w:b/>
          <w:color w:val="000000"/>
          <w:lang w:val="en-GB"/>
        </w:rPr>
        <w:lastRenderedPageBreak/>
        <w:t>Nurcan ARDA</w:t>
      </w:r>
      <w:r>
        <w:rPr>
          <w:rFonts w:cstheme="minorHAnsi"/>
          <w:b/>
          <w:color w:val="000000"/>
          <w:lang w:val="en-GB"/>
        </w:rPr>
        <w:t xml:space="preserve"> /</w:t>
      </w:r>
      <w:r w:rsidRPr="00460A7A">
        <w:rPr>
          <w:rFonts w:cstheme="minorHAnsi"/>
          <w:b/>
          <w:color w:val="000000"/>
          <w:lang w:val="en-GB"/>
        </w:rPr>
        <w:t xml:space="preserve">0212 249 45 46 / 0532 768 64 68 - </w:t>
      </w:r>
      <w:hyperlink r:id="rId10" w:history="1">
        <w:r w:rsidRPr="00460A7A">
          <w:rPr>
            <w:rStyle w:val="Kpr"/>
            <w:rFonts w:cstheme="minorHAnsi"/>
            <w:b/>
            <w:lang w:val="en-GB"/>
          </w:rPr>
          <w:t>nurcan.arda@lorbi.com</w:t>
        </w:r>
      </w:hyperlink>
    </w:p>
    <w:sectPr w:rsidR="002A7996" w:rsidRPr="002A7996" w:rsidSect="00CC00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993" w:header="221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B92D" w14:textId="77777777" w:rsidR="003E4641" w:rsidRDefault="003E4641" w:rsidP="00C51AC7">
      <w:pPr>
        <w:spacing w:after="0" w:line="240" w:lineRule="auto"/>
      </w:pPr>
      <w:r>
        <w:separator/>
      </w:r>
    </w:p>
  </w:endnote>
  <w:endnote w:type="continuationSeparator" w:id="0">
    <w:p w14:paraId="772A9E40" w14:textId="77777777" w:rsidR="003E4641" w:rsidRDefault="003E4641" w:rsidP="00C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D34" w14:textId="77777777" w:rsidR="00EE6D26" w:rsidRDefault="00EE6D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74F7" w14:textId="77777777" w:rsidR="00C51AC7" w:rsidRDefault="00C51AC7" w:rsidP="007F2E8C">
    <w:pPr>
      <w:pStyle w:val="AltBilgi"/>
      <w:ind w:left="-709" w:right="142" w:firstLine="709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E5D387A" wp14:editId="494C7583">
          <wp:simplePos x="0" y="0"/>
          <wp:positionH relativeFrom="column">
            <wp:posOffset>4765964</wp:posOffset>
          </wp:positionH>
          <wp:positionV relativeFrom="paragraph">
            <wp:posOffset>-567872</wp:posOffset>
          </wp:positionV>
          <wp:extent cx="2148840" cy="1286256"/>
          <wp:effectExtent l="0" t="0" r="3810" b="9525"/>
          <wp:wrapTight wrapText="bothSides">
            <wp:wrapPolygon edited="0">
              <wp:start x="0" y="0"/>
              <wp:lineTo x="0" y="21440"/>
              <wp:lineTo x="21447" y="21440"/>
              <wp:lineTo x="21447" y="0"/>
              <wp:lineTo x="0" y="0"/>
            </wp:wrapPolygon>
          </wp:wrapTight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286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6383" w14:textId="77777777" w:rsidR="00EE6D26" w:rsidRDefault="00EE6D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88D1" w14:textId="77777777" w:rsidR="003E4641" w:rsidRDefault="003E4641" w:rsidP="00C51AC7">
      <w:pPr>
        <w:spacing w:after="0" w:line="240" w:lineRule="auto"/>
      </w:pPr>
      <w:r>
        <w:separator/>
      </w:r>
    </w:p>
  </w:footnote>
  <w:footnote w:type="continuationSeparator" w:id="0">
    <w:p w14:paraId="18C3C277" w14:textId="77777777" w:rsidR="003E4641" w:rsidRDefault="003E4641" w:rsidP="00C5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E1DB" w14:textId="77777777" w:rsidR="00EE6D26" w:rsidRDefault="00EE6D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6BB2" w14:textId="77777777" w:rsidR="00C51AC7" w:rsidRDefault="00C51AC7" w:rsidP="007D2CAC">
    <w:pPr>
      <w:pStyle w:val="stBilgi"/>
      <w:ind w:left="-426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69977BD" wp14:editId="589384DF">
          <wp:simplePos x="0" y="0"/>
          <wp:positionH relativeFrom="column">
            <wp:posOffset>-1563370</wp:posOffset>
          </wp:positionH>
          <wp:positionV relativeFrom="paragraph">
            <wp:posOffset>-1842135</wp:posOffset>
          </wp:positionV>
          <wp:extent cx="2667000" cy="1676400"/>
          <wp:effectExtent l="0" t="0" r="0" b="0"/>
          <wp:wrapTight wrapText="bothSides">
            <wp:wrapPolygon edited="0">
              <wp:start x="11726" y="9573"/>
              <wp:lineTo x="11417" y="10800"/>
              <wp:lineTo x="11263" y="13991"/>
              <wp:lineTo x="11263" y="18164"/>
              <wp:lineTo x="18514" y="18164"/>
              <wp:lineTo x="18823" y="17673"/>
              <wp:lineTo x="19749" y="14727"/>
              <wp:lineTo x="20057" y="13009"/>
              <wp:lineTo x="18360" y="11782"/>
              <wp:lineTo x="13731" y="9573"/>
              <wp:lineTo x="11726" y="9573"/>
            </wp:wrapPolygon>
          </wp:wrapTight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723" b="22591"/>
                  <a:stretch/>
                </pic:blipFill>
                <pic:spPr bwMode="auto">
                  <a:xfrm>
                    <a:off x="0" y="0"/>
                    <a:ext cx="266700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952C" w14:textId="77777777" w:rsidR="00EE6D26" w:rsidRDefault="00EE6D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59C"/>
    <w:multiLevelType w:val="hybridMultilevel"/>
    <w:tmpl w:val="5B74FBE8"/>
    <w:lvl w:ilvl="0" w:tplc="9990A33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0982"/>
    <w:multiLevelType w:val="hybridMultilevel"/>
    <w:tmpl w:val="C9F2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11E"/>
    <w:multiLevelType w:val="hybridMultilevel"/>
    <w:tmpl w:val="94505D7A"/>
    <w:lvl w:ilvl="0" w:tplc="967220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CD0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080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1E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054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430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06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ECE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ED6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1746860">
    <w:abstractNumId w:val="1"/>
  </w:num>
  <w:num w:numId="2" w16cid:durableId="599147657">
    <w:abstractNumId w:val="0"/>
  </w:num>
  <w:num w:numId="3" w16cid:durableId="1762869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C3"/>
    <w:rsid w:val="0002540B"/>
    <w:rsid w:val="000452B6"/>
    <w:rsid w:val="00092849"/>
    <w:rsid w:val="000A046A"/>
    <w:rsid w:val="000A3BDC"/>
    <w:rsid w:val="000B7096"/>
    <w:rsid w:val="000C7760"/>
    <w:rsid w:val="000D3E31"/>
    <w:rsid w:val="000E1FBE"/>
    <w:rsid w:val="000E30CC"/>
    <w:rsid w:val="000F6CB1"/>
    <w:rsid w:val="001127CC"/>
    <w:rsid w:val="001468F4"/>
    <w:rsid w:val="00160806"/>
    <w:rsid w:val="00162555"/>
    <w:rsid w:val="001841FF"/>
    <w:rsid w:val="001967E0"/>
    <w:rsid w:val="001B3927"/>
    <w:rsid w:val="001C7CB1"/>
    <w:rsid w:val="001D0DDC"/>
    <w:rsid w:val="001D10E4"/>
    <w:rsid w:val="001D693A"/>
    <w:rsid w:val="001E621C"/>
    <w:rsid w:val="001F20B5"/>
    <w:rsid w:val="001F49E7"/>
    <w:rsid w:val="002049DA"/>
    <w:rsid w:val="00223C1C"/>
    <w:rsid w:val="00240C48"/>
    <w:rsid w:val="002813E9"/>
    <w:rsid w:val="002A7996"/>
    <w:rsid w:val="003B1350"/>
    <w:rsid w:val="003D7519"/>
    <w:rsid w:val="003E4641"/>
    <w:rsid w:val="003E657A"/>
    <w:rsid w:val="003F45E9"/>
    <w:rsid w:val="004549D2"/>
    <w:rsid w:val="0049651A"/>
    <w:rsid w:val="004A0878"/>
    <w:rsid w:val="004B6CD3"/>
    <w:rsid w:val="004E7AFD"/>
    <w:rsid w:val="00540E6D"/>
    <w:rsid w:val="005D5F3D"/>
    <w:rsid w:val="005E4516"/>
    <w:rsid w:val="006133DF"/>
    <w:rsid w:val="00624B20"/>
    <w:rsid w:val="00663ED4"/>
    <w:rsid w:val="00673C0C"/>
    <w:rsid w:val="00691A6B"/>
    <w:rsid w:val="006C5E9C"/>
    <w:rsid w:val="006E64DB"/>
    <w:rsid w:val="007003F5"/>
    <w:rsid w:val="00700718"/>
    <w:rsid w:val="00733725"/>
    <w:rsid w:val="0075701C"/>
    <w:rsid w:val="007958E0"/>
    <w:rsid w:val="007B13DB"/>
    <w:rsid w:val="007B6F3F"/>
    <w:rsid w:val="007C3F3A"/>
    <w:rsid w:val="007D2CAC"/>
    <w:rsid w:val="007F2E8C"/>
    <w:rsid w:val="0087112D"/>
    <w:rsid w:val="008778F2"/>
    <w:rsid w:val="00890473"/>
    <w:rsid w:val="008A0CED"/>
    <w:rsid w:val="008B21CE"/>
    <w:rsid w:val="008B2E77"/>
    <w:rsid w:val="008D023C"/>
    <w:rsid w:val="008F2FC9"/>
    <w:rsid w:val="00905A3F"/>
    <w:rsid w:val="00952561"/>
    <w:rsid w:val="00964F05"/>
    <w:rsid w:val="009B2C2D"/>
    <w:rsid w:val="009E7D76"/>
    <w:rsid w:val="00A166C0"/>
    <w:rsid w:val="00A51260"/>
    <w:rsid w:val="00A85FBD"/>
    <w:rsid w:val="00A905EA"/>
    <w:rsid w:val="00AE094C"/>
    <w:rsid w:val="00B84163"/>
    <w:rsid w:val="00B8738A"/>
    <w:rsid w:val="00BB3DFE"/>
    <w:rsid w:val="00BC2787"/>
    <w:rsid w:val="00BC61D7"/>
    <w:rsid w:val="00C05511"/>
    <w:rsid w:val="00C253EC"/>
    <w:rsid w:val="00C25D0B"/>
    <w:rsid w:val="00C51AC7"/>
    <w:rsid w:val="00C5291F"/>
    <w:rsid w:val="00CC00B2"/>
    <w:rsid w:val="00CC0E2B"/>
    <w:rsid w:val="00CE5D3E"/>
    <w:rsid w:val="00D05ED1"/>
    <w:rsid w:val="00D14950"/>
    <w:rsid w:val="00D47177"/>
    <w:rsid w:val="00D776C3"/>
    <w:rsid w:val="00D8655E"/>
    <w:rsid w:val="00D97329"/>
    <w:rsid w:val="00DA2D79"/>
    <w:rsid w:val="00DD5496"/>
    <w:rsid w:val="00E17091"/>
    <w:rsid w:val="00E41017"/>
    <w:rsid w:val="00E441BE"/>
    <w:rsid w:val="00E7729B"/>
    <w:rsid w:val="00E82832"/>
    <w:rsid w:val="00EC7BE8"/>
    <w:rsid w:val="00ED26F3"/>
    <w:rsid w:val="00EE3A82"/>
    <w:rsid w:val="00EE47D3"/>
    <w:rsid w:val="00EE6D26"/>
    <w:rsid w:val="00F65CA6"/>
    <w:rsid w:val="00F711DA"/>
    <w:rsid w:val="00F7271C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A16D9"/>
  <w15:chartTrackingRefBased/>
  <w15:docId w15:val="{F90C60A1-A351-4C97-8CEC-41357DE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29"/>
    <w:pPr>
      <w:spacing w:after="200" w:line="276" w:lineRule="auto"/>
    </w:pPr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BC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1AC7"/>
  </w:style>
  <w:style w:type="paragraph" w:styleId="AltBilgi">
    <w:name w:val="footer"/>
    <w:basedOn w:val="Normal"/>
    <w:link w:val="Al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1AC7"/>
  </w:style>
  <w:style w:type="character" w:styleId="Gl">
    <w:name w:val="Strong"/>
    <w:basedOn w:val="VarsaylanParagrafYazTipi"/>
    <w:uiPriority w:val="22"/>
    <w:qFormat/>
    <w:rsid w:val="007D2C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AC"/>
    <w:rPr>
      <w:rFonts w:ascii="Segoe UI" w:hAnsi="Segoe UI" w:cs="Segoe UI"/>
      <w:sz w:val="18"/>
      <w:szCs w:val="18"/>
    </w:rPr>
  </w:style>
  <w:style w:type="paragraph" w:styleId="AralkYok">
    <w:name w:val="No Spacing"/>
    <w:uiPriority w:val="99"/>
    <w:qFormat/>
    <w:rsid w:val="00D97329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D97329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qFormat/>
    <w:rsid w:val="0002540B"/>
    <w:rPr>
      <w:rFonts w:ascii="Times New Roman" w:eastAsia="Times New Roman" w:hAnsi="Times New Roman" w:cs="Times New Roman"/>
      <w:sz w:val="32"/>
      <w:szCs w:val="20"/>
      <w:lang w:val="en-AU"/>
    </w:rPr>
  </w:style>
  <w:style w:type="paragraph" w:styleId="GvdeMetni">
    <w:name w:val="Body Text"/>
    <w:basedOn w:val="Normal"/>
    <w:link w:val="GvdeMetniChar"/>
    <w:rsid w:val="0002540B"/>
    <w:pPr>
      <w:spacing w:after="0" w:line="240" w:lineRule="auto"/>
    </w:pPr>
    <w:rPr>
      <w:rFonts w:ascii="Times New Roman" w:eastAsia="Times New Roman" w:hAnsi="Times New Roman"/>
      <w:sz w:val="32"/>
      <w:szCs w:val="20"/>
      <w:lang w:val="en-AU"/>
    </w:rPr>
  </w:style>
  <w:style w:type="character" w:customStyle="1" w:styleId="GvdeMetniChar1">
    <w:name w:val="Gövde Metni Char1"/>
    <w:basedOn w:val="VarsaylanParagrafYazTipi"/>
    <w:uiPriority w:val="99"/>
    <w:semiHidden/>
    <w:rsid w:val="0002540B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qFormat/>
    <w:locked/>
    <w:rsid w:val="0002540B"/>
    <w:rPr>
      <w:rFonts w:ascii="Calibri" w:eastAsia="Calibri" w:hAnsi="Calibri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BC61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5D5F3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2C2D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0E1F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E1F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E1FB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1F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1F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gcube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urcan.arda@lorb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bitak.gov.tr/tr/duyuru/2022-2-bigg-yesil-buyume-cagrisi-acild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71E97B-1ADA-044C-9D7E-107D070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Erdal</dc:creator>
  <cp:keywords/>
  <dc:description/>
  <cp:lastModifiedBy>Teknopark İstanbul Office 5</cp:lastModifiedBy>
  <cp:revision>2</cp:revision>
  <cp:lastPrinted>2021-07-01T07:41:00Z</cp:lastPrinted>
  <dcterms:created xsi:type="dcterms:W3CDTF">2022-07-04T11:55:00Z</dcterms:created>
  <dcterms:modified xsi:type="dcterms:W3CDTF">2022-07-04T11:55:00Z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ropertyName">
    <vt:lpwstr>3265DAC8-E08B-44A1-BADC-2164496259F8</vt:lpwstr>
  </property>
  <property fmtid="{D5CDD505-2E9C-101B-9397-08002B2CF9AE}" pid="3" name="VeriketClassification">
    <vt:lpwstr>A5BC3CFD-4D51-461E-B5F0-D84C6FA67A36</vt:lpwstr>
  </property>
  <property fmtid="{D5CDD505-2E9C-101B-9397-08002B2CF9AE}" pid="4" name="SensitivityPersonalDatasPropertyName">
    <vt:lpwstr>Not File Props</vt:lpwstr>
  </property>
  <property fmtid="{D5CDD505-2E9C-101B-9397-08002B2CF9AE}" pid="5" name="SensitivityApprovedContentPropertyName">
    <vt:lpwstr>Not File Props</vt:lpwstr>
  </property>
  <property fmtid="{D5CDD505-2E9C-101B-9397-08002B2CF9AE}" pid="6" name="SensitivityCanExportContentPropertyName">
    <vt:lpwstr>Not File Props</vt:lpwstr>
  </property>
  <property fmtid="{D5CDD505-2E9C-101B-9397-08002B2CF9AE}" pid="7" name="SensitivityDataRetentionPeriodPropertyName">
    <vt:lpwstr>Not File Props</vt:lpwstr>
  </property>
</Properties>
</file>